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CellMar>
          <w:left w:w="10" w:type="dxa"/>
          <w:right w:w="10" w:type="dxa"/>
        </w:tblCellMar>
        <w:tblLook w:val="0000" w:firstRow="0" w:lastRow="0" w:firstColumn="0" w:lastColumn="0" w:noHBand="0" w:noVBand="0"/>
      </w:tblPr>
      <w:tblGrid>
        <w:gridCol w:w="4820"/>
        <w:gridCol w:w="4819"/>
      </w:tblGrid>
      <w:tr w:rsidR="009A0696">
        <w:tc>
          <w:tcPr>
            <w:tcW w:w="9639" w:type="dxa"/>
            <w:gridSpan w:val="2"/>
            <w:shd w:val="clear" w:color="auto" w:fill="auto"/>
            <w:tcMar>
              <w:top w:w="0" w:type="dxa"/>
              <w:left w:w="108" w:type="dxa"/>
              <w:bottom w:w="0" w:type="dxa"/>
              <w:right w:w="108" w:type="dxa"/>
            </w:tcMar>
          </w:tcPr>
          <w:p w:rsidR="009A0696" w:rsidRDefault="001F6E8F">
            <w:r>
              <w:rPr>
                <w:sz w:val="36"/>
                <w:szCs w:val="36"/>
              </w:rPr>
              <w:t>Fraktion FDP</w:t>
            </w:r>
          </w:p>
          <w:p w:rsidR="009A0696" w:rsidRDefault="001F6E8F">
            <w:pPr>
              <w:rPr>
                <w:sz w:val="36"/>
                <w:szCs w:val="36"/>
              </w:rPr>
            </w:pPr>
            <w:r>
              <w:rPr>
                <w:sz w:val="36"/>
                <w:szCs w:val="36"/>
              </w:rPr>
              <w:t>in der Stadtverordnetenversammlung</w:t>
            </w:r>
          </w:p>
          <w:p w:rsidR="009A0696" w:rsidRDefault="009A0696">
            <w:pPr>
              <w:ind w:left="-108"/>
            </w:pPr>
          </w:p>
          <w:p w:rsidR="009A0696" w:rsidRDefault="001F6E8F">
            <w:pPr>
              <w:ind w:left="34"/>
            </w:pPr>
            <w:r>
              <w:rPr>
                <w:rFonts w:ascii="Arial" w:hAnsi="Arial"/>
                <w:b/>
                <w:szCs w:val="22"/>
              </w:rPr>
              <w:t>Fraktionsantrag</w:t>
            </w:r>
          </w:p>
          <w:p w:rsidR="009A0696" w:rsidRDefault="009A0696">
            <w:pPr>
              <w:pStyle w:val="Kopfzeile"/>
              <w:ind w:right="288"/>
              <w:jc w:val="right"/>
              <w:rPr>
                <w:sz w:val="18"/>
                <w:szCs w:val="18"/>
              </w:rPr>
            </w:pPr>
          </w:p>
          <w:p w:rsidR="009A0696" w:rsidRDefault="009A0696">
            <w:pPr>
              <w:pStyle w:val="Kopfzeile"/>
              <w:ind w:right="288"/>
              <w:jc w:val="right"/>
            </w:pPr>
          </w:p>
        </w:tc>
      </w:tr>
      <w:tr w:rsidR="009A0696">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696" w:rsidRDefault="001F6E8F">
            <w:pPr>
              <w:spacing w:before="40" w:after="40"/>
            </w:pPr>
            <w:r>
              <w:t>Fraktionsvorsitz</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A0696" w:rsidRDefault="001F6E8F">
            <w:pPr>
              <w:spacing w:before="40" w:after="40"/>
            </w:pPr>
            <w:r>
              <w:t>Marius Schäfer</w:t>
            </w:r>
          </w:p>
        </w:tc>
      </w:tr>
    </w:tbl>
    <w:p w:rsidR="009A0696" w:rsidRDefault="009A0696"/>
    <w:tbl>
      <w:tblPr>
        <w:tblW w:w="9634" w:type="dxa"/>
        <w:tblLayout w:type="fixed"/>
        <w:tblCellMar>
          <w:left w:w="10" w:type="dxa"/>
          <w:right w:w="10" w:type="dxa"/>
        </w:tblCellMar>
        <w:tblLook w:val="0000" w:firstRow="0" w:lastRow="0" w:firstColumn="0" w:lastColumn="0" w:noHBand="0" w:noVBand="0"/>
      </w:tblPr>
      <w:tblGrid>
        <w:gridCol w:w="4820"/>
        <w:gridCol w:w="1271"/>
        <w:gridCol w:w="3543"/>
      </w:tblGrid>
      <w:tr w:rsidR="009A0696">
        <w:trPr>
          <w:cantSplit/>
          <w:trHeight w:val="340"/>
        </w:trPr>
        <w:tc>
          <w:tcPr>
            <w:tcW w:w="4820" w:type="dxa"/>
            <w:tcBorders>
              <w:bottom w:val="single" w:sz="4" w:space="0" w:color="000000"/>
            </w:tcBorders>
            <w:shd w:val="clear" w:color="auto" w:fill="auto"/>
            <w:tcMar>
              <w:top w:w="0" w:type="dxa"/>
              <w:left w:w="70" w:type="dxa"/>
              <w:bottom w:w="0" w:type="dxa"/>
              <w:right w:w="70" w:type="dxa"/>
            </w:tcMar>
            <w:vAlign w:val="center"/>
          </w:tcPr>
          <w:p w:rsidR="009A0696" w:rsidRDefault="001F6E8F">
            <w:r>
              <w:t>Beratungsfolge</w:t>
            </w:r>
          </w:p>
        </w:tc>
        <w:tc>
          <w:tcPr>
            <w:tcW w:w="1271" w:type="dxa"/>
            <w:tcBorders>
              <w:bottom w:val="single" w:sz="4" w:space="0" w:color="000000"/>
            </w:tcBorders>
            <w:shd w:val="clear" w:color="auto" w:fill="auto"/>
            <w:tcMar>
              <w:top w:w="0" w:type="dxa"/>
              <w:left w:w="70" w:type="dxa"/>
              <w:bottom w:w="0" w:type="dxa"/>
              <w:right w:w="70" w:type="dxa"/>
            </w:tcMar>
            <w:vAlign w:val="center"/>
          </w:tcPr>
          <w:p w:rsidR="009A0696" w:rsidRDefault="001F6E8F">
            <w:r>
              <w:t>Termin</w:t>
            </w:r>
          </w:p>
        </w:tc>
        <w:tc>
          <w:tcPr>
            <w:tcW w:w="3543" w:type="dxa"/>
            <w:tcBorders>
              <w:bottom w:val="single" w:sz="4" w:space="0" w:color="000000"/>
            </w:tcBorders>
            <w:shd w:val="clear" w:color="auto" w:fill="auto"/>
            <w:tcMar>
              <w:top w:w="0" w:type="dxa"/>
              <w:left w:w="70" w:type="dxa"/>
              <w:bottom w:w="0" w:type="dxa"/>
              <w:right w:w="70" w:type="dxa"/>
            </w:tcMar>
            <w:vAlign w:val="center"/>
          </w:tcPr>
          <w:p w:rsidR="009A0696" w:rsidRDefault="009A0696"/>
        </w:tc>
      </w:tr>
      <w:tr w:rsidR="009A0696">
        <w:trPr>
          <w:cantSplit/>
          <w:trHeight w:val="34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1F6E8F">
            <w:r>
              <w:t>Stadtverordnetenversammlung</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6250D0">
            <w:r>
              <w:t>11.06.2022</w:t>
            </w:r>
          </w:p>
        </w:tc>
      </w:tr>
      <w:tr w:rsidR="009A0696">
        <w:trPr>
          <w:cantSplit/>
          <w:trHeight w:val="34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1F6E8F">
            <w:r>
              <w:rPr>
                <w:rStyle w:val="Platzhaltertext"/>
              </w:rPr>
              <w:t>Wählen Sie ein Element aus.</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9A0696"/>
        </w:tc>
      </w:tr>
      <w:tr w:rsidR="009A0696">
        <w:trPr>
          <w:cantSplit/>
          <w:trHeight w:val="34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1F6E8F">
            <w:r>
              <w:rPr>
                <w:rStyle w:val="Platzhaltertext"/>
              </w:rPr>
              <w:t>Wählen Sie ein Element aus.</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9A0696"/>
        </w:tc>
      </w:tr>
      <w:tr w:rsidR="009A0696">
        <w:trPr>
          <w:cantSplit/>
          <w:trHeight w:val="34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1F6E8F">
            <w:r>
              <w:rPr>
                <w:rStyle w:val="Platzhaltertext"/>
              </w:rPr>
              <w:t>Wählen Sie ein Element aus.</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9A0696"/>
        </w:tc>
      </w:tr>
      <w:tr w:rsidR="009A0696">
        <w:trPr>
          <w:cantSplit/>
          <w:trHeight w:val="340"/>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1F6E8F">
            <w:r>
              <w:rPr>
                <w:rStyle w:val="Platzhaltertext"/>
              </w:rPr>
              <w:t>Wählen Sie ein Element aus.</w:t>
            </w:r>
          </w:p>
        </w:tc>
        <w:tc>
          <w:tcPr>
            <w:tcW w:w="4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9A0696" w:rsidRDefault="009A0696"/>
        </w:tc>
      </w:tr>
    </w:tbl>
    <w:p w:rsidR="009A0696" w:rsidRDefault="009A0696"/>
    <w:p w:rsidR="009A0696" w:rsidRDefault="001F6E8F">
      <w:pPr>
        <w:rPr>
          <w:b/>
        </w:rPr>
      </w:pPr>
      <w:r>
        <w:rPr>
          <w:b/>
        </w:rPr>
        <w:t>Betreff</w:t>
      </w:r>
    </w:p>
    <w:p w:rsidR="009A0696" w:rsidRPr="00127DDA" w:rsidRDefault="006250D0">
      <w:pPr>
        <w:rPr>
          <w:rFonts w:asciiTheme="minorHAnsi" w:hAnsiTheme="minorHAnsi" w:cstheme="minorHAnsi"/>
          <w:color w:val="000000" w:themeColor="text1"/>
          <w:spacing w:val="5"/>
          <w:szCs w:val="24"/>
          <w:lang w:eastAsia="de-DE"/>
        </w:rPr>
      </w:pPr>
      <w:r w:rsidRPr="00127DDA">
        <w:rPr>
          <w:rFonts w:asciiTheme="minorHAnsi" w:hAnsiTheme="minorHAnsi" w:cstheme="minorHAnsi"/>
          <w:color w:val="000000" w:themeColor="text1"/>
          <w:spacing w:val="5"/>
          <w:szCs w:val="24"/>
          <w:lang w:eastAsia="de-DE"/>
        </w:rPr>
        <w:t>Solaranlange</w:t>
      </w:r>
      <w:r w:rsidR="000707EA">
        <w:rPr>
          <w:rFonts w:asciiTheme="minorHAnsi" w:hAnsiTheme="minorHAnsi" w:cstheme="minorHAnsi"/>
          <w:color w:val="000000" w:themeColor="text1"/>
          <w:spacing w:val="5"/>
          <w:szCs w:val="24"/>
          <w:lang w:eastAsia="de-DE"/>
        </w:rPr>
        <w:t>n</w:t>
      </w:r>
      <w:r w:rsidRPr="00127DDA">
        <w:rPr>
          <w:rFonts w:asciiTheme="minorHAnsi" w:hAnsiTheme="minorHAnsi" w:cstheme="minorHAnsi"/>
          <w:color w:val="000000" w:themeColor="text1"/>
          <w:spacing w:val="5"/>
          <w:szCs w:val="24"/>
          <w:lang w:eastAsia="de-DE"/>
        </w:rPr>
        <w:t xml:space="preserve"> </w:t>
      </w:r>
      <w:r w:rsidR="00675F17" w:rsidRPr="00127DDA">
        <w:rPr>
          <w:rFonts w:asciiTheme="minorHAnsi" w:hAnsiTheme="minorHAnsi" w:cstheme="minorHAnsi"/>
          <w:color w:val="000000" w:themeColor="text1"/>
          <w:spacing w:val="5"/>
          <w:szCs w:val="24"/>
          <w:lang w:eastAsia="de-DE"/>
        </w:rPr>
        <w:t>im Wald</w:t>
      </w:r>
    </w:p>
    <w:p w:rsidR="009A0696" w:rsidRDefault="009A0696"/>
    <w:p w:rsidR="00755BA8" w:rsidRDefault="00755BA8"/>
    <w:p w:rsidR="009A0696" w:rsidRDefault="001F6E8F">
      <w:pPr>
        <w:pStyle w:val="berschrift2"/>
        <w:rPr>
          <w:u w:val="none"/>
        </w:rPr>
      </w:pPr>
      <w:r>
        <w:rPr>
          <w:u w:val="none"/>
        </w:rPr>
        <w:t>Antragstext</w:t>
      </w:r>
    </w:p>
    <w:p w:rsidR="009A0696" w:rsidRPr="00127DDA" w:rsidRDefault="001F6E8F" w:rsidP="00127DDA">
      <w:pPr>
        <w:rPr>
          <w:rFonts w:asciiTheme="minorHAnsi" w:hAnsiTheme="minorHAnsi" w:cstheme="minorHAnsi"/>
          <w:color w:val="000000" w:themeColor="text1"/>
          <w:spacing w:val="5"/>
          <w:szCs w:val="24"/>
          <w:lang w:eastAsia="de-DE"/>
        </w:rPr>
      </w:pPr>
      <w:bookmarkStart w:id="0" w:name="BSTBeginn"/>
      <w:bookmarkStart w:id="1" w:name="BSTEnde"/>
      <w:bookmarkEnd w:id="0"/>
      <w:bookmarkEnd w:id="1"/>
      <w:r w:rsidRPr="00127DDA">
        <w:rPr>
          <w:rFonts w:asciiTheme="minorHAnsi" w:hAnsiTheme="minorHAnsi" w:cstheme="minorHAnsi"/>
          <w:color w:val="000000" w:themeColor="text1"/>
          <w:spacing w:val="5"/>
          <w:szCs w:val="24"/>
          <w:lang w:eastAsia="de-DE"/>
        </w:rPr>
        <w:t xml:space="preserve">Der Magistrat wird gebeten, </w:t>
      </w:r>
      <w:r w:rsidR="00B00FC8" w:rsidRPr="00127DDA">
        <w:rPr>
          <w:rFonts w:asciiTheme="minorHAnsi" w:hAnsiTheme="minorHAnsi" w:cstheme="minorHAnsi"/>
          <w:color w:val="000000" w:themeColor="text1"/>
          <w:spacing w:val="5"/>
          <w:szCs w:val="24"/>
          <w:lang w:eastAsia="de-DE"/>
        </w:rPr>
        <w:t xml:space="preserve">gemeinsam mit Hessen Forst </w:t>
      </w:r>
      <w:r w:rsidR="006250D0" w:rsidRPr="00127DDA">
        <w:rPr>
          <w:rFonts w:asciiTheme="minorHAnsi" w:hAnsiTheme="minorHAnsi" w:cstheme="minorHAnsi"/>
          <w:color w:val="000000" w:themeColor="text1"/>
          <w:spacing w:val="5"/>
          <w:szCs w:val="24"/>
          <w:lang w:eastAsia="de-DE"/>
        </w:rPr>
        <w:t xml:space="preserve">zu prüfen, ob Solaranlagen </w:t>
      </w:r>
      <w:r w:rsidR="008D1B08" w:rsidRPr="00127DDA">
        <w:rPr>
          <w:rFonts w:asciiTheme="minorHAnsi" w:hAnsiTheme="minorHAnsi" w:cstheme="minorHAnsi"/>
          <w:color w:val="000000" w:themeColor="text1"/>
          <w:spacing w:val="5"/>
          <w:szCs w:val="24"/>
          <w:lang w:eastAsia="de-DE"/>
        </w:rPr>
        <w:t xml:space="preserve">im städtischen Wald rechtlich, ökologisch und </w:t>
      </w:r>
      <w:r w:rsidR="00675F17" w:rsidRPr="00127DDA">
        <w:rPr>
          <w:rFonts w:asciiTheme="minorHAnsi" w:hAnsiTheme="minorHAnsi" w:cstheme="minorHAnsi"/>
          <w:color w:val="000000" w:themeColor="text1"/>
          <w:spacing w:val="5"/>
          <w:szCs w:val="24"/>
          <w:lang w:eastAsia="de-DE"/>
        </w:rPr>
        <w:t xml:space="preserve">wirtschaftlich umsetzbar sind und die Ausschüsse HFA und UPB entsprechend zu unterrichten. </w:t>
      </w:r>
      <w:r w:rsidR="00127DDA">
        <w:rPr>
          <w:rFonts w:asciiTheme="minorHAnsi" w:hAnsiTheme="minorHAnsi" w:cstheme="minorHAnsi"/>
          <w:color w:val="000000" w:themeColor="text1"/>
          <w:spacing w:val="5"/>
          <w:szCs w:val="24"/>
          <w:lang w:eastAsia="de-DE"/>
        </w:rPr>
        <w:t>Bei der Prüfung sollen auch die unterschiedlichen Betreibermodelle berücksichtigt werden.</w:t>
      </w:r>
    </w:p>
    <w:p w:rsidR="006250D0" w:rsidRDefault="006250D0"/>
    <w:p w:rsidR="00755BA8" w:rsidRDefault="00755BA8"/>
    <w:p w:rsidR="00127DDA" w:rsidRDefault="001F6E8F" w:rsidP="00127DDA">
      <w:pPr>
        <w:spacing w:line="360" w:lineRule="auto"/>
        <w:rPr>
          <w:b/>
        </w:rPr>
      </w:pPr>
      <w:r w:rsidRPr="00755BA8">
        <w:rPr>
          <w:b/>
        </w:rPr>
        <w:t>Begründung</w:t>
      </w:r>
      <w:bookmarkStart w:id="2" w:name="SACBeginn"/>
      <w:bookmarkStart w:id="3" w:name="SACEnde"/>
      <w:bookmarkEnd w:id="2"/>
      <w:bookmarkEnd w:id="3"/>
    </w:p>
    <w:p w:rsidR="00B00FC8" w:rsidRPr="00127DDA" w:rsidRDefault="00675F17" w:rsidP="00127DDA">
      <w:pPr>
        <w:rPr>
          <w:b/>
        </w:rPr>
      </w:pPr>
      <w:r w:rsidRPr="00127DDA">
        <w:rPr>
          <w:rFonts w:asciiTheme="minorHAnsi" w:hAnsiTheme="minorHAnsi" w:cstheme="minorHAnsi"/>
          <w:color w:val="000000" w:themeColor="text1"/>
          <w:spacing w:val="5"/>
          <w:szCs w:val="24"/>
          <w:lang w:eastAsia="de-DE"/>
        </w:rPr>
        <w:t xml:space="preserve">In den letzten Jahren mussten wir leider </w:t>
      </w:r>
      <w:r w:rsidR="000707EA">
        <w:rPr>
          <w:rFonts w:asciiTheme="minorHAnsi" w:hAnsiTheme="minorHAnsi" w:cstheme="minorHAnsi"/>
          <w:color w:val="000000" w:themeColor="text1"/>
          <w:spacing w:val="5"/>
          <w:szCs w:val="24"/>
          <w:lang w:eastAsia="de-DE"/>
        </w:rPr>
        <w:t>feststellen</w:t>
      </w:r>
      <w:r w:rsidRPr="00127DDA">
        <w:rPr>
          <w:rFonts w:asciiTheme="minorHAnsi" w:hAnsiTheme="minorHAnsi" w:cstheme="minorHAnsi"/>
          <w:color w:val="000000" w:themeColor="text1"/>
          <w:spacing w:val="5"/>
          <w:szCs w:val="24"/>
          <w:lang w:eastAsia="de-DE"/>
        </w:rPr>
        <w:t xml:space="preserve">, wie immer mehr Waldflächen </w:t>
      </w:r>
      <w:r w:rsidR="008D1B08" w:rsidRPr="00127DDA">
        <w:rPr>
          <w:rFonts w:asciiTheme="minorHAnsi" w:hAnsiTheme="minorHAnsi" w:cstheme="minorHAnsi"/>
          <w:color w:val="000000" w:themeColor="text1"/>
          <w:spacing w:val="5"/>
          <w:szCs w:val="24"/>
          <w:lang w:eastAsia="de-DE"/>
        </w:rPr>
        <w:t xml:space="preserve">verschwunden sind und geschädigte Waldflächen weiter zunehmen. Während </w:t>
      </w:r>
      <w:r w:rsidR="00B00FC8" w:rsidRPr="00127DDA">
        <w:rPr>
          <w:rFonts w:asciiTheme="minorHAnsi" w:hAnsiTheme="minorHAnsi" w:cstheme="minorHAnsi"/>
          <w:color w:val="000000" w:themeColor="text1"/>
          <w:spacing w:val="5"/>
          <w:szCs w:val="24"/>
          <w:lang w:eastAsia="de-DE"/>
        </w:rPr>
        <w:t xml:space="preserve">die </w:t>
      </w:r>
      <w:r w:rsidR="000707EA">
        <w:rPr>
          <w:rFonts w:asciiTheme="minorHAnsi" w:hAnsiTheme="minorHAnsi" w:cstheme="minorHAnsi"/>
          <w:color w:val="000000" w:themeColor="text1"/>
          <w:spacing w:val="5"/>
          <w:szCs w:val="24"/>
          <w:lang w:eastAsia="de-DE"/>
        </w:rPr>
        <w:t>dort oft</w:t>
      </w:r>
      <w:r w:rsidR="00B00FC8" w:rsidRPr="00127DDA">
        <w:rPr>
          <w:rFonts w:asciiTheme="minorHAnsi" w:hAnsiTheme="minorHAnsi" w:cstheme="minorHAnsi"/>
          <w:color w:val="000000" w:themeColor="text1"/>
          <w:spacing w:val="5"/>
          <w:szCs w:val="24"/>
          <w:lang w:eastAsia="de-DE"/>
        </w:rPr>
        <w:t xml:space="preserve"> geforderten </w:t>
      </w:r>
      <w:r w:rsidR="008D1B08" w:rsidRPr="00127DDA">
        <w:rPr>
          <w:rFonts w:asciiTheme="minorHAnsi" w:hAnsiTheme="minorHAnsi" w:cstheme="minorHAnsi"/>
          <w:color w:val="000000" w:themeColor="text1"/>
          <w:spacing w:val="5"/>
          <w:szCs w:val="24"/>
          <w:lang w:eastAsia="de-DE"/>
        </w:rPr>
        <w:t xml:space="preserve">Windkraftanlagen negative Auswirkungen auf die Tierwelt, das Trinkwasser und Ästhetik der Region haben können und </w:t>
      </w:r>
      <w:r w:rsidR="00A108E7" w:rsidRPr="00127DDA">
        <w:rPr>
          <w:rFonts w:asciiTheme="minorHAnsi" w:hAnsiTheme="minorHAnsi" w:cstheme="minorHAnsi"/>
          <w:color w:val="000000" w:themeColor="text1"/>
          <w:spacing w:val="5"/>
          <w:szCs w:val="24"/>
          <w:lang w:eastAsia="de-DE"/>
        </w:rPr>
        <w:t xml:space="preserve">für den Bau der Anlagen viel Platz gebraucht wird, sind Photovoltaik </w:t>
      </w:r>
      <w:r w:rsidR="000707EA">
        <w:rPr>
          <w:rFonts w:asciiTheme="minorHAnsi" w:hAnsiTheme="minorHAnsi" w:cstheme="minorHAnsi"/>
          <w:color w:val="000000" w:themeColor="text1"/>
          <w:spacing w:val="5"/>
          <w:szCs w:val="24"/>
          <w:lang w:eastAsia="de-DE"/>
        </w:rPr>
        <w:t>diesen in einigen Belangen überlegen</w:t>
      </w:r>
      <w:r w:rsidR="00A108E7" w:rsidRPr="00127DDA">
        <w:rPr>
          <w:rFonts w:asciiTheme="minorHAnsi" w:hAnsiTheme="minorHAnsi" w:cstheme="minorHAnsi"/>
          <w:color w:val="000000" w:themeColor="text1"/>
          <w:spacing w:val="5"/>
          <w:szCs w:val="24"/>
          <w:lang w:eastAsia="de-DE"/>
        </w:rPr>
        <w:t xml:space="preserve">. Zwar sind Kahl- und Freiflächen </w:t>
      </w:r>
      <w:r w:rsidR="000707EA">
        <w:rPr>
          <w:rFonts w:asciiTheme="minorHAnsi" w:hAnsiTheme="minorHAnsi" w:cstheme="minorHAnsi"/>
          <w:color w:val="000000" w:themeColor="text1"/>
          <w:spacing w:val="5"/>
          <w:szCs w:val="24"/>
          <w:lang w:eastAsia="de-DE"/>
        </w:rPr>
        <w:t xml:space="preserve">grundsätzlich </w:t>
      </w:r>
      <w:r w:rsidR="00A108E7" w:rsidRPr="00127DDA">
        <w:rPr>
          <w:rFonts w:asciiTheme="minorHAnsi" w:hAnsiTheme="minorHAnsi" w:cstheme="minorHAnsi"/>
          <w:color w:val="000000" w:themeColor="text1"/>
          <w:spacing w:val="5"/>
          <w:szCs w:val="24"/>
          <w:lang w:eastAsia="de-DE"/>
        </w:rPr>
        <w:t>wieder zu bepflanzen, jedoch hat das Land Hessen</w:t>
      </w:r>
      <w:r w:rsidR="00B00FC8" w:rsidRPr="00127DDA">
        <w:rPr>
          <w:rFonts w:asciiTheme="minorHAnsi" w:hAnsiTheme="minorHAnsi" w:cstheme="minorHAnsi"/>
          <w:color w:val="000000" w:themeColor="text1"/>
          <w:spacing w:val="5"/>
          <w:szCs w:val="24"/>
          <w:lang w:eastAsia="de-DE"/>
        </w:rPr>
        <w:t xml:space="preserve"> hier</w:t>
      </w:r>
      <w:r w:rsidR="00A108E7" w:rsidRPr="00127DDA">
        <w:rPr>
          <w:rFonts w:asciiTheme="minorHAnsi" w:hAnsiTheme="minorHAnsi" w:cstheme="minorHAnsi"/>
          <w:color w:val="000000" w:themeColor="text1"/>
          <w:spacing w:val="5"/>
          <w:szCs w:val="24"/>
          <w:lang w:eastAsia="de-DE"/>
        </w:rPr>
        <w:t xml:space="preserve"> die Möglichkeiten für PV-Anlagen 2018 ausgeweitet. </w:t>
      </w:r>
      <w:r w:rsidR="00127DDA">
        <w:rPr>
          <w:rFonts w:asciiTheme="minorHAnsi" w:hAnsiTheme="minorHAnsi" w:cstheme="minorHAnsi"/>
          <w:color w:val="000000" w:themeColor="text1"/>
          <w:spacing w:val="5"/>
          <w:szCs w:val="24"/>
          <w:lang w:eastAsia="de-DE"/>
        </w:rPr>
        <w:br/>
      </w:r>
      <w:r w:rsidR="00B00FC8" w:rsidRPr="00127DDA">
        <w:rPr>
          <w:rFonts w:asciiTheme="minorHAnsi" w:hAnsiTheme="minorHAnsi" w:cstheme="minorHAnsi"/>
          <w:color w:val="000000" w:themeColor="text1"/>
          <w:spacing w:val="5"/>
          <w:szCs w:val="24"/>
          <w:lang w:eastAsia="de-DE"/>
        </w:rPr>
        <w:t xml:space="preserve">Die aktuelle politische Situation zeigt umso mehr wie wichtig ein grüner Energiemix für Deutschland ist und auch die Stadt Oestrich-Winkel sollte hier ihren Beitrag leisten. Dabei bieten Solaranlagen, im Vergleich zur Windkraft, viele Vorteile: </w:t>
      </w:r>
    </w:p>
    <w:p w:rsidR="00B00FC8" w:rsidRPr="00B00FC8" w:rsidRDefault="00B00FC8" w:rsidP="00127DDA">
      <w:pPr>
        <w:numPr>
          <w:ilvl w:val="0"/>
          <w:numId w:val="2"/>
        </w:numPr>
        <w:suppressAutoHyphens w:val="0"/>
        <w:autoSpaceDN/>
        <w:spacing w:before="100" w:beforeAutospacing="1" w:after="100" w:afterAutospacing="1"/>
        <w:ind w:left="0" w:hanging="357"/>
        <w:textAlignment w:val="auto"/>
        <w:rPr>
          <w:rFonts w:asciiTheme="minorHAnsi" w:hAnsiTheme="minorHAnsi" w:cstheme="minorHAnsi"/>
          <w:color w:val="000000" w:themeColor="text1"/>
          <w:spacing w:val="5"/>
          <w:szCs w:val="24"/>
          <w:lang w:eastAsia="de-DE"/>
        </w:rPr>
      </w:pPr>
      <w:r w:rsidRPr="00B00FC8">
        <w:rPr>
          <w:rFonts w:asciiTheme="minorHAnsi" w:hAnsiTheme="minorHAnsi" w:cstheme="minorHAnsi"/>
          <w:color w:val="000000" w:themeColor="text1"/>
          <w:spacing w:val="5"/>
          <w:szCs w:val="24"/>
          <w:lang w:eastAsia="de-DE"/>
        </w:rPr>
        <w:t xml:space="preserve">CO2-Emmissionen werden reduziert, damit kann </w:t>
      </w:r>
      <w:r w:rsidR="00127DDA">
        <w:rPr>
          <w:rFonts w:asciiTheme="minorHAnsi" w:hAnsiTheme="minorHAnsi" w:cstheme="minorHAnsi"/>
          <w:color w:val="000000" w:themeColor="text1"/>
          <w:spacing w:val="5"/>
          <w:szCs w:val="24"/>
          <w:lang w:eastAsia="de-DE"/>
        </w:rPr>
        <w:t>kann die Stadt</w:t>
      </w:r>
      <w:r w:rsidRPr="00B00FC8">
        <w:rPr>
          <w:rFonts w:asciiTheme="minorHAnsi" w:hAnsiTheme="minorHAnsi" w:cstheme="minorHAnsi"/>
          <w:color w:val="000000" w:themeColor="text1"/>
          <w:spacing w:val="5"/>
          <w:szCs w:val="24"/>
          <w:lang w:eastAsia="de-DE"/>
        </w:rPr>
        <w:t xml:space="preserve"> Beitrag zum Umweltschutz leisten. </w:t>
      </w:r>
    </w:p>
    <w:p w:rsidR="00B00FC8" w:rsidRPr="00B00FC8" w:rsidRDefault="00B00FC8" w:rsidP="00B00FC8">
      <w:pPr>
        <w:numPr>
          <w:ilvl w:val="0"/>
          <w:numId w:val="2"/>
        </w:numPr>
        <w:suppressAutoHyphens w:val="0"/>
        <w:autoSpaceDN/>
        <w:spacing w:before="100" w:beforeAutospacing="1" w:after="100" w:afterAutospacing="1"/>
        <w:ind w:left="0"/>
        <w:textAlignment w:val="auto"/>
        <w:rPr>
          <w:rFonts w:asciiTheme="minorHAnsi" w:hAnsiTheme="minorHAnsi" w:cstheme="minorHAnsi"/>
          <w:color w:val="000000" w:themeColor="text1"/>
          <w:spacing w:val="5"/>
          <w:szCs w:val="24"/>
          <w:lang w:eastAsia="de-DE"/>
        </w:rPr>
      </w:pPr>
      <w:r w:rsidRPr="00B00FC8">
        <w:rPr>
          <w:rFonts w:asciiTheme="minorHAnsi" w:hAnsiTheme="minorHAnsi" w:cstheme="minorHAnsi"/>
          <w:color w:val="000000" w:themeColor="text1"/>
          <w:spacing w:val="5"/>
          <w:szCs w:val="24"/>
          <w:lang w:eastAsia="de-DE"/>
        </w:rPr>
        <w:t xml:space="preserve">Bei ordentlichem Preis-Leistungsverhältnis der PV-Anlage werden gute und vor allem gesicherte Renditen erzielt. </w:t>
      </w:r>
    </w:p>
    <w:p w:rsidR="00B00FC8" w:rsidRPr="00B00FC8" w:rsidRDefault="00B00FC8" w:rsidP="00B00FC8">
      <w:pPr>
        <w:numPr>
          <w:ilvl w:val="0"/>
          <w:numId w:val="2"/>
        </w:numPr>
        <w:suppressAutoHyphens w:val="0"/>
        <w:autoSpaceDN/>
        <w:spacing w:before="100" w:beforeAutospacing="1" w:after="100" w:afterAutospacing="1"/>
        <w:ind w:left="0"/>
        <w:textAlignment w:val="auto"/>
        <w:rPr>
          <w:rFonts w:asciiTheme="minorHAnsi" w:hAnsiTheme="minorHAnsi" w:cstheme="minorHAnsi"/>
          <w:color w:val="000000" w:themeColor="text1"/>
          <w:spacing w:val="5"/>
          <w:szCs w:val="24"/>
          <w:lang w:eastAsia="de-DE"/>
        </w:rPr>
      </w:pPr>
      <w:r w:rsidRPr="00B00FC8">
        <w:rPr>
          <w:rFonts w:asciiTheme="minorHAnsi" w:hAnsiTheme="minorHAnsi" w:cstheme="minorHAnsi"/>
          <w:color w:val="000000" w:themeColor="text1"/>
          <w:spacing w:val="5"/>
          <w:szCs w:val="24"/>
          <w:lang w:eastAsia="de-DE"/>
        </w:rPr>
        <w:t>PV-Anlagen sind extrem wartungsarm, da es keine beweglichen Teile gibt. Verschleiß durch bewegte Teile ist somit ausgeschlossen. Die Anlage hat eine Lebenserwartung von mindestens 20 - 25 Jahren. Diese Beständigkeit wurde in vielen Langzeittests bewiesen. Auch gibt es bereits viele Anlagen, die bereits seit mehr als einem Jahrzehnt ihren Dienst tun. Lediglich der Wechselrichter unterliegt einem Verschleiß, das sollte in der Kalkulation entsprechend berücksichtigt werden.</w:t>
      </w:r>
    </w:p>
    <w:p w:rsidR="00B00FC8" w:rsidRPr="00B00FC8" w:rsidRDefault="00B00FC8" w:rsidP="00B00FC8">
      <w:pPr>
        <w:numPr>
          <w:ilvl w:val="0"/>
          <w:numId w:val="2"/>
        </w:numPr>
        <w:suppressAutoHyphens w:val="0"/>
        <w:autoSpaceDN/>
        <w:spacing w:before="100" w:beforeAutospacing="1" w:after="100" w:afterAutospacing="1"/>
        <w:ind w:left="0"/>
        <w:textAlignment w:val="auto"/>
        <w:rPr>
          <w:rFonts w:asciiTheme="minorHAnsi" w:hAnsiTheme="minorHAnsi" w:cstheme="minorHAnsi"/>
          <w:color w:val="000000" w:themeColor="text1"/>
          <w:spacing w:val="5"/>
          <w:szCs w:val="24"/>
          <w:lang w:eastAsia="de-DE"/>
        </w:rPr>
      </w:pPr>
      <w:r w:rsidRPr="00B00FC8">
        <w:rPr>
          <w:rFonts w:asciiTheme="minorHAnsi" w:hAnsiTheme="minorHAnsi" w:cstheme="minorHAnsi"/>
          <w:color w:val="000000" w:themeColor="text1"/>
          <w:spacing w:val="5"/>
          <w:szCs w:val="24"/>
          <w:lang w:eastAsia="de-DE"/>
        </w:rPr>
        <w:t>Keine Lärmbelästigung, keine Geruchsbelästigung, keine Emissionen, keine Schadstoffe</w:t>
      </w:r>
    </w:p>
    <w:p w:rsidR="00B00FC8" w:rsidRPr="00B00FC8" w:rsidRDefault="00B00FC8" w:rsidP="00B00FC8">
      <w:pPr>
        <w:numPr>
          <w:ilvl w:val="0"/>
          <w:numId w:val="2"/>
        </w:numPr>
        <w:suppressAutoHyphens w:val="0"/>
        <w:autoSpaceDN/>
        <w:spacing w:before="100" w:beforeAutospacing="1" w:after="100" w:afterAutospacing="1"/>
        <w:ind w:left="0"/>
        <w:textAlignment w:val="auto"/>
        <w:rPr>
          <w:rFonts w:asciiTheme="minorHAnsi" w:hAnsiTheme="minorHAnsi" w:cstheme="minorHAnsi"/>
          <w:color w:val="000000" w:themeColor="text1"/>
          <w:spacing w:val="5"/>
          <w:szCs w:val="24"/>
          <w:lang w:eastAsia="de-DE"/>
        </w:rPr>
      </w:pPr>
      <w:r w:rsidRPr="00B00FC8">
        <w:rPr>
          <w:rFonts w:asciiTheme="minorHAnsi" w:hAnsiTheme="minorHAnsi" w:cstheme="minorHAnsi"/>
          <w:color w:val="000000" w:themeColor="text1"/>
          <w:spacing w:val="5"/>
          <w:szCs w:val="24"/>
          <w:lang w:eastAsia="de-DE"/>
        </w:rPr>
        <w:t>Auch bei einer Störung der PV-Anlage steht weiterhin Strom aus dem Netz zur Verfügung.</w:t>
      </w:r>
    </w:p>
    <w:p w:rsidR="00B00FC8" w:rsidRPr="00B00FC8" w:rsidRDefault="00B00FC8" w:rsidP="00B00FC8">
      <w:pPr>
        <w:numPr>
          <w:ilvl w:val="0"/>
          <w:numId w:val="2"/>
        </w:numPr>
        <w:suppressAutoHyphens w:val="0"/>
        <w:autoSpaceDN/>
        <w:spacing w:before="100" w:beforeAutospacing="1" w:after="100" w:afterAutospacing="1"/>
        <w:ind w:left="0"/>
        <w:textAlignment w:val="auto"/>
        <w:rPr>
          <w:rFonts w:asciiTheme="minorHAnsi" w:hAnsiTheme="minorHAnsi" w:cstheme="minorHAnsi"/>
          <w:color w:val="000000" w:themeColor="text1"/>
          <w:spacing w:val="5"/>
          <w:szCs w:val="24"/>
          <w:lang w:eastAsia="de-DE"/>
        </w:rPr>
      </w:pPr>
      <w:r w:rsidRPr="00B00FC8">
        <w:rPr>
          <w:rFonts w:asciiTheme="minorHAnsi" w:hAnsiTheme="minorHAnsi" w:cstheme="minorHAnsi"/>
          <w:color w:val="000000" w:themeColor="text1"/>
          <w:spacing w:val="5"/>
          <w:szCs w:val="24"/>
          <w:lang w:eastAsia="de-DE"/>
        </w:rPr>
        <w:t xml:space="preserve">Nach Ende der Laufzeit der Module können </w:t>
      </w:r>
      <w:r w:rsidR="00127DDA">
        <w:rPr>
          <w:rFonts w:asciiTheme="minorHAnsi" w:hAnsiTheme="minorHAnsi" w:cstheme="minorHAnsi"/>
          <w:color w:val="000000" w:themeColor="text1"/>
          <w:spacing w:val="5"/>
          <w:szCs w:val="24"/>
          <w:lang w:eastAsia="de-DE"/>
        </w:rPr>
        <w:t>diese einfach demontiert werden</w:t>
      </w:r>
      <w:r w:rsidRPr="00B00FC8">
        <w:rPr>
          <w:rFonts w:asciiTheme="minorHAnsi" w:hAnsiTheme="minorHAnsi" w:cstheme="minorHAnsi"/>
          <w:color w:val="000000" w:themeColor="text1"/>
          <w:spacing w:val="5"/>
          <w:szCs w:val="24"/>
          <w:lang w:eastAsia="de-DE"/>
        </w:rPr>
        <w:t>.</w:t>
      </w:r>
    </w:p>
    <w:p w:rsidR="00B00FC8" w:rsidRPr="00B00FC8" w:rsidRDefault="00B00FC8" w:rsidP="00B00FC8">
      <w:pPr>
        <w:numPr>
          <w:ilvl w:val="0"/>
          <w:numId w:val="2"/>
        </w:numPr>
        <w:suppressAutoHyphens w:val="0"/>
        <w:autoSpaceDN/>
        <w:spacing w:before="100" w:beforeAutospacing="1" w:after="100" w:afterAutospacing="1"/>
        <w:ind w:left="0"/>
        <w:textAlignment w:val="auto"/>
        <w:rPr>
          <w:rFonts w:asciiTheme="minorHAnsi" w:hAnsiTheme="minorHAnsi" w:cstheme="minorHAnsi"/>
          <w:color w:val="000000" w:themeColor="text1"/>
          <w:spacing w:val="5"/>
          <w:szCs w:val="24"/>
          <w:lang w:eastAsia="de-DE"/>
        </w:rPr>
      </w:pPr>
      <w:r w:rsidRPr="00B00FC8">
        <w:rPr>
          <w:rFonts w:asciiTheme="minorHAnsi" w:hAnsiTheme="minorHAnsi" w:cstheme="minorHAnsi"/>
          <w:color w:val="000000" w:themeColor="text1"/>
          <w:spacing w:val="5"/>
          <w:szCs w:val="24"/>
          <w:lang w:eastAsia="de-DE"/>
        </w:rPr>
        <w:lastRenderedPageBreak/>
        <w:t>Die seit dem Jahr 2009 eingeführte </w:t>
      </w:r>
      <w:hyperlink r:id="rId7" w:history="1">
        <w:r w:rsidRPr="00127DDA">
          <w:rPr>
            <w:rFonts w:asciiTheme="minorHAnsi" w:hAnsiTheme="minorHAnsi" w:cstheme="minorHAnsi"/>
            <w:color w:val="000000" w:themeColor="text1"/>
            <w:spacing w:val="5"/>
            <w:szCs w:val="24"/>
            <w:lang w:eastAsia="de-DE"/>
          </w:rPr>
          <w:t>Eigenverbrauchsregelung</w:t>
        </w:r>
      </w:hyperlink>
      <w:r w:rsidRPr="00B00FC8">
        <w:rPr>
          <w:rFonts w:asciiTheme="minorHAnsi" w:hAnsiTheme="minorHAnsi" w:cstheme="minorHAnsi"/>
          <w:color w:val="000000" w:themeColor="text1"/>
          <w:spacing w:val="5"/>
          <w:szCs w:val="24"/>
          <w:lang w:eastAsia="de-DE"/>
        </w:rPr>
        <w:t> macht einen Betreiber zum Teil unabhängig von steigenden Strompreisen. Gleichzeitig kann er durch die Vorteile des Eigenverbrauchs, vor allem wenn er 30% deutlich übersteigt sehr profitieren.</w:t>
      </w:r>
    </w:p>
    <w:p w:rsidR="00B00FC8" w:rsidRPr="00B00FC8" w:rsidRDefault="00B00FC8" w:rsidP="00B00FC8">
      <w:pPr>
        <w:numPr>
          <w:ilvl w:val="0"/>
          <w:numId w:val="2"/>
        </w:numPr>
        <w:suppressAutoHyphens w:val="0"/>
        <w:autoSpaceDN/>
        <w:spacing w:before="100" w:beforeAutospacing="1" w:after="100" w:afterAutospacing="1"/>
        <w:ind w:left="0"/>
        <w:textAlignment w:val="auto"/>
        <w:rPr>
          <w:rFonts w:asciiTheme="minorHAnsi" w:hAnsiTheme="minorHAnsi" w:cstheme="minorHAnsi"/>
          <w:color w:val="000000" w:themeColor="text1"/>
          <w:spacing w:val="5"/>
          <w:szCs w:val="24"/>
          <w:lang w:eastAsia="de-DE"/>
        </w:rPr>
      </w:pPr>
      <w:r w:rsidRPr="00B00FC8">
        <w:rPr>
          <w:rFonts w:asciiTheme="minorHAnsi" w:hAnsiTheme="minorHAnsi" w:cstheme="minorHAnsi"/>
          <w:color w:val="000000" w:themeColor="text1"/>
          <w:spacing w:val="5"/>
          <w:szCs w:val="24"/>
          <w:lang w:eastAsia="de-DE"/>
        </w:rPr>
        <w:t>Flexible Anlagengröße durch modularen Aufbau. Anlagen von 1 kWp bis etliche MWp können realisiert werden.</w:t>
      </w:r>
    </w:p>
    <w:p w:rsidR="00127DDA" w:rsidRPr="00127DDA" w:rsidRDefault="00B00FC8" w:rsidP="00127DDA">
      <w:pPr>
        <w:numPr>
          <w:ilvl w:val="0"/>
          <w:numId w:val="2"/>
        </w:numPr>
        <w:suppressAutoHyphens w:val="0"/>
        <w:autoSpaceDN/>
        <w:spacing w:before="100" w:beforeAutospacing="1" w:after="100" w:afterAutospacing="1"/>
        <w:ind w:left="0"/>
        <w:textAlignment w:val="auto"/>
        <w:rPr>
          <w:rFonts w:asciiTheme="minorHAnsi" w:hAnsiTheme="minorHAnsi" w:cstheme="minorHAnsi"/>
          <w:color w:val="000000" w:themeColor="text1"/>
          <w:spacing w:val="5"/>
          <w:szCs w:val="24"/>
          <w:lang w:eastAsia="de-DE"/>
        </w:rPr>
      </w:pPr>
      <w:r w:rsidRPr="00B00FC8">
        <w:rPr>
          <w:rFonts w:asciiTheme="minorHAnsi" w:hAnsiTheme="minorHAnsi" w:cstheme="minorHAnsi"/>
          <w:color w:val="000000" w:themeColor="text1"/>
          <w:spacing w:val="5"/>
          <w:szCs w:val="24"/>
          <w:lang w:eastAsia="de-DE"/>
        </w:rPr>
        <w:t>Kurze Energierücklaufzeit: Je nach der verwendeten Technologie ist die für die Herstellung der Komponenten benötigte Energie bereits nach wenigen Jahren wieder amortisiert. Spätestens nach 5 Jahren Laufzeit ist die investierte Energie wieder herausgeholt und alle weiteren Jahre in Betrieb sorgen für eine überaus positive Ökobilanz.</w:t>
      </w:r>
    </w:p>
    <w:p w:rsidR="008D1B08" w:rsidRDefault="008D1B08">
      <w:pPr>
        <w:pStyle w:val="SachText"/>
      </w:pPr>
    </w:p>
    <w:p w:rsidR="009A0696" w:rsidRDefault="001F6E8F">
      <w:pPr>
        <w:pStyle w:val="berschrift2"/>
        <w:rPr>
          <w:u w:val="none"/>
        </w:rPr>
      </w:pPr>
      <w:r>
        <w:rPr>
          <w:u w:val="none"/>
        </w:rPr>
        <w:t>Finanzielle Auswirkungen</w:t>
      </w:r>
    </w:p>
    <w:p w:rsidR="009A0696" w:rsidRPr="00127DDA" w:rsidRDefault="001F6E8F" w:rsidP="00127DDA">
      <w:pPr>
        <w:suppressAutoHyphens w:val="0"/>
        <w:autoSpaceDN/>
        <w:spacing w:before="100" w:beforeAutospacing="1" w:after="100" w:afterAutospacing="1"/>
        <w:textAlignment w:val="auto"/>
        <w:rPr>
          <w:rFonts w:asciiTheme="minorHAnsi" w:hAnsiTheme="minorHAnsi" w:cstheme="minorHAnsi"/>
          <w:color w:val="000000" w:themeColor="text1"/>
          <w:spacing w:val="5"/>
          <w:szCs w:val="24"/>
          <w:lang w:eastAsia="de-DE"/>
        </w:rPr>
      </w:pPr>
      <w:bookmarkStart w:id="4" w:name="SONBeginn"/>
      <w:bookmarkStart w:id="5" w:name="SONEnde"/>
      <w:bookmarkEnd w:id="4"/>
      <w:bookmarkEnd w:id="5"/>
      <w:r w:rsidRPr="00127DDA">
        <w:rPr>
          <w:rFonts w:asciiTheme="minorHAnsi" w:hAnsiTheme="minorHAnsi" w:cstheme="minorHAnsi"/>
          <w:color w:val="000000" w:themeColor="text1"/>
          <w:spacing w:val="5"/>
          <w:szCs w:val="24"/>
          <w:lang w:eastAsia="de-DE"/>
        </w:rPr>
        <w:t>Sind zu ermitteln.</w:t>
      </w:r>
    </w:p>
    <w:p w:rsidR="009A0696" w:rsidRDefault="009A0696">
      <w:pPr>
        <w:pStyle w:val="SachText"/>
      </w:pPr>
    </w:p>
    <w:p w:rsidR="009A0696" w:rsidRDefault="009A0696">
      <w:pPr>
        <w:rPr>
          <w:lang w:eastAsia="de-DE"/>
        </w:rPr>
      </w:pPr>
    </w:p>
    <w:p w:rsidR="009A0696" w:rsidRDefault="009A0696">
      <w:pPr>
        <w:rPr>
          <w:lang w:eastAsia="de-DE"/>
        </w:rPr>
      </w:pPr>
    </w:p>
    <w:sectPr w:rsidR="009A0696">
      <w:footerReference w:type="default" r:id="rId8"/>
      <w:pgSz w:w="11907" w:h="16840"/>
      <w:pgMar w:top="1418" w:right="1134" w:bottom="1134"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17EF" w:rsidRDefault="001917EF">
      <w:r>
        <w:separator/>
      </w:r>
    </w:p>
  </w:endnote>
  <w:endnote w:type="continuationSeparator" w:id="0">
    <w:p w:rsidR="001917EF" w:rsidRDefault="0019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S">
    <w:altName w:val="Times New Roman"/>
    <w:panose1 w:val="020B0604020202020204"/>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2F25" w:rsidRDefault="00056E0D">
    <w:pPr>
      <w:pStyle w:val="Kopfzeile"/>
      <w:pBdr>
        <w:top w:val="single" w:sz="4" w:space="1" w:color="000000"/>
      </w:pBdr>
      <w:rPr>
        <w:rFonts w:ascii="Arial" w:hAnsi="Arial"/>
        <w:sz w:val="4"/>
        <w:szCs w:val="18"/>
      </w:rPr>
    </w:pPr>
  </w:p>
  <w:p w:rsidR="00CB2F25" w:rsidRDefault="001F6E8F">
    <w:pPr>
      <w:pStyle w:val="Kopfzeile"/>
      <w:pBdr>
        <w:top w:val="single" w:sz="4" w:space="1" w:color="000000"/>
      </w:pBdr>
    </w:pPr>
    <w:r>
      <w:rPr>
        <w:rFonts w:ascii="Arial" w:hAnsi="Arial"/>
        <w:sz w:val="18"/>
        <w:szCs w:val="18"/>
      </w:rPr>
      <w:tab/>
    </w:r>
    <w:r>
      <w:rPr>
        <w:rFonts w:ascii="Arial" w:hAnsi="Arial"/>
        <w:sz w:val="18"/>
        <w:szCs w:val="18"/>
      </w:rPr>
      <w:tab/>
    </w:r>
    <w:r>
      <w:rPr>
        <w:rFonts w:ascii="Arial" w:hAnsi="Arial"/>
        <w:sz w:val="18"/>
        <w:szCs w:val="18"/>
      </w:rPr>
      <w:tab/>
      <w:t xml:space="preserve">Seite </w:t>
    </w:r>
    <w:r>
      <w:rPr>
        <w:rStyle w:val="Seitenzahl"/>
        <w:rFonts w:ascii="Arial" w:hAnsi="Arial"/>
        <w:sz w:val="18"/>
        <w:szCs w:val="18"/>
      </w:rPr>
      <w:fldChar w:fldCharType="begin"/>
    </w:r>
    <w:r>
      <w:rPr>
        <w:rStyle w:val="Seitenzahl"/>
        <w:rFonts w:ascii="Arial" w:hAnsi="Arial"/>
        <w:sz w:val="18"/>
        <w:szCs w:val="18"/>
      </w:rPr>
      <w:instrText xml:space="preserve"> PAGE </w:instrText>
    </w:r>
    <w:r>
      <w:rPr>
        <w:rStyle w:val="Seitenzahl"/>
        <w:rFonts w:ascii="Arial" w:hAnsi="Arial"/>
        <w:sz w:val="18"/>
        <w:szCs w:val="18"/>
      </w:rPr>
      <w:fldChar w:fldCharType="separate"/>
    </w:r>
    <w:r w:rsidR="00127DDA">
      <w:rPr>
        <w:rStyle w:val="Seitenzahl"/>
        <w:rFonts w:ascii="Arial" w:hAnsi="Arial"/>
        <w:noProof/>
        <w:sz w:val="18"/>
        <w:szCs w:val="18"/>
      </w:rPr>
      <w:t>2</w:t>
    </w:r>
    <w:r>
      <w:rPr>
        <w:rStyle w:val="Seitenzahl"/>
        <w:rFonts w:ascii="Arial" w:hAnsi="Arial"/>
        <w:sz w:val="18"/>
        <w:szCs w:val="18"/>
      </w:rPr>
      <w:fldChar w:fldCharType="end"/>
    </w:r>
    <w:r>
      <w:rPr>
        <w:rStyle w:val="Seitenzahl"/>
        <w:rFonts w:ascii="Arial" w:hAnsi="Arial"/>
        <w:sz w:val="18"/>
        <w:szCs w:val="18"/>
      </w:rPr>
      <w:t xml:space="preserve"> </w:t>
    </w:r>
    <w:r>
      <w:rPr>
        <w:rFonts w:ascii="Arial" w:hAnsi="Arial"/>
        <w:sz w:val="18"/>
        <w:szCs w:val="18"/>
      </w:rPr>
      <w:t xml:space="preserve">von </w:t>
    </w:r>
    <w:r>
      <w:rPr>
        <w:rStyle w:val="Seitenzahl"/>
        <w:rFonts w:ascii="Arial" w:hAnsi="Arial"/>
        <w:sz w:val="18"/>
        <w:szCs w:val="18"/>
      </w:rPr>
      <w:fldChar w:fldCharType="begin"/>
    </w:r>
    <w:r>
      <w:rPr>
        <w:rStyle w:val="Seitenzahl"/>
        <w:rFonts w:ascii="Arial" w:hAnsi="Arial"/>
        <w:sz w:val="18"/>
        <w:szCs w:val="18"/>
      </w:rPr>
      <w:instrText xml:space="preserve"> NUMPAGES </w:instrText>
    </w:r>
    <w:r>
      <w:rPr>
        <w:rStyle w:val="Seitenzahl"/>
        <w:rFonts w:ascii="Arial" w:hAnsi="Arial"/>
        <w:sz w:val="18"/>
        <w:szCs w:val="18"/>
      </w:rPr>
      <w:fldChar w:fldCharType="separate"/>
    </w:r>
    <w:r w:rsidR="00127DDA">
      <w:rPr>
        <w:rStyle w:val="Seitenzahl"/>
        <w:rFonts w:ascii="Arial" w:hAnsi="Arial"/>
        <w:noProof/>
        <w:sz w:val="18"/>
        <w:szCs w:val="18"/>
      </w:rPr>
      <w:t>2</w:t>
    </w:r>
    <w:r>
      <w:rPr>
        <w:rStyle w:val="Seitenzahl"/>
        <w:rFonts w:ascii="Arial" w:hAnsi="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17EF" w:rsidRDefault="001917EF">
      <w:r>
        <w:rPr>
          <w:color w:val="000000"/>
        </w:rPr>
        <w:separator/>
      </w:r>
    </w:p>
  </w:footnote>
  <w:footnote w:type="continuationSeparator" w:id="0">
    <w:p w:rsidR="001917EF" w:rsidRDefault="001917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84B9A"/>
    <w:multiLevelType w:val="multilevel"/>
    <w:tmpl w:val="2F1A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0A289B"/>
    <w:multiLevelType w:val="multilevel"/>
    <w:tmpl w:val="1DFEE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431088"/>
    <w:multiLevelType w:val="hybridMultilevel"/>
    <w:tmpl w:val="C5748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2645839">
    <w:abstractNumId w:val="1"/>
  </w:num>
  <w:num w:numId="2" w16cid:durableId="1966546907">
    <w:abstractNumId w:val="0"/>
  </w:num>
  <w:num w:numId="3" w16cid:durableId="1551527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696"/>
    <w:rsid w:val="00056E0D"/>
    <w:rsid w:val="000707EA"/>
    <w:rsid w:val="00127DDA"/>
    <w:rsid w:val="001917EF"/>
    <w:rsid w:val="001F6E8F"/>
    <w:rsid w:val="003E6F85"/>
    <w:rsid w:val="006250D0"/>
    <w:rsid w:val="00675F17"/>
    <w:rsid w:val="00755BA8"/>
    <w:rsid w:val="007D411D"/>
    <w:rsid w:val="008D1B08"/>
    <w:rsid w:val="009A0696"/>
    <w:rsid w:val="00A108E7"/>
    <w:rsid w:val="00A51B66"/>
    <w:rsid w:val="00B00FC8"/>
    <w:rsid w:val="00BB3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B4C49-AA4D-4A0C-ADF4-8AFF5EE3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rPr>
      <w:rFonts w:ascii="Calibri" w:hAnsi="Calibri"/>
      <w:sz w:val="22"/>
    </w:rPr>
  </w:style>
  <w:style w:type="paragraph" w:styleId="berschrift2">
    <w:name w:val="heading 2"/>
    <w:basedOn w:val="Standard"/>
    <w:next w:val="Standard"/>
    <w:pPr>
      <w:keepNext/>
      <w:tabs>
        <w:tab w:val="left" w:pos="5670"/>
      </w:tabs>
      <w:spacing w:after="120"/>
      <w:outlineLvl w:val="1"/>
    </w:pPr>
    <w:rPr>
      <w:b/>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2Char">
    <w:name w:val="Heading 2 Char"/>
    <w:basedOn w:val="Absatz-Standardschriftart"/>
    <w:rPr>
      <w:rFonts w:ascii="Arial" w:eastAsia="Times New Roman" w:hAnsi="Arial" w:cs="Arial"/>
      <w:b/>
      <w:sz w:val="22"/>
      <w:u w:val="single"/>
      <w:lang w:eastAsia="de-DE"/>
    </w:rPr>
  </w:style>
  <w:style w:type="paragraph" w:customStyle="1" w:styleId="SachText">
    <w:name w:val="SachText"/>
    <w:basedOn w:val="Standard"/>
    <w:pPr>
      <w:tabs>
        <w:tab w:val="left" w:pos="5670"/>
      </w:tabs>
    </w:pPr>
    <w:rPr>
      <w:lang w:eastAsia="de-DE"/>
    </w:rPr>
  </w:style>
  <w:style w:type="character" w:styleId="Seitenzahl">
    <w:name w:val="page number"/>
    <w:basedOn w:val="Absatz-Standardschriftart"/>
  </w:style>
  <w:style w:type="paragraph" w:customStyle="1" w:styleId="BetrText">
    <w:name w:val="BetrText"/>
    <w:basedOn w:val="Standard"/>
    <w:pPr>
      <w:tabs>
        <w:tab w:val="left" w:pos="5670"/>
      </w:tabs>
    </w:pPr>
    <w:rPr>
      <w:b/>
      <w:lang w:eastAsia="de-DE"/>
    </w:rPr>
  </w:style>
  <w:style w:type="paragraph" w:customStyle="1" w:styleId="BeschlText">
    <w:name w:val="BeschlText"/>
    <w:basedOn w:val="Standard"/>
    <w:pPr>
      <w:tabs>
        <w:tab w:val="left" w:pos="5670"/>
      </w:tabs>
    </w:pPr>
    <w:rPr>
      <w:lang w:eastAsia="de-DE"/>
    </w:rPr>
  </w:style>
  <w:style w:type="paragraph" w:styleId="Kopfzeile">
    <w:name w:val="header"/>
    <w:basedOn w:val="Standard"/>
    <w:pPr>
      <w:tabs>
        <w:tab w:val="center" w:pos="4536"/>
        <w:tab w:val="left" w:pos="5670"/>
        <w:tab w:val="right" w:pos="9072"/>
      </w:tabs>
    </w:pPr>
    <w:rPr>
      <w:rFonts w:ascii="CorpoS" w:hAnsi="CorpoS"/>
      <w:lang w:eastAsia="de-DE"/>
    </w:rPr>
  </w:style>
  <w:style w:type="character" w:customStyle="1" w:styleId="HeaderChar">
    <w:name w:val="Header Char"/>
    <w:basedOn w:val="Absatz-Standardschriftart"/>
    <w:rPr>
      <w:rFonts w:ascii="CorpoS" w:eastAsia="Times New Roman" w:hAnsi="CorpoS" w:cs="Arial"/>
      <w:sz w:val="22"/>
      <w:lang w:eastAsia="de-DE"/>
    </w:rPr>
  </w:style>
  <w:style w:type="paragraph" w:customStyle="1" w:styleId="SonderText">
    <w:name w:val="SonderText"/>
    <w:basedOn w:val="Standard"/>
    <w:pPr>
      <w:tabs>
        <w:tab w:val="left" w:pos="5670"/>
      </w:tabs>
    </w:pPr>
    <w:rPr>
      <w:lang w:eastAsia="de-DE"/>
    </w:rPr>
  </w:style>
  <w:style w:type="paragraph" w:styleId="Sprechblasentext">
    <w:name w:val="Balloon Text"/>
    <w:basedOn w:val="Standard"/>
    <w:rPr>
      <w:rFonts w:ascii="Tahoma" w:hAnsi="Tahoma" w:cs="Tahoma"/>
      <w:sz w:val="16"/>
      <w:szCs w:val="16"/>
    </w:rPr>
  </w:style>
  <w:style w:type="character" w:customStyle="1" w:styleId="BalloonTextChar">
    <w:name w:val="Balloon Text Char"/>
    <w:basedOn w:val="Absatz-Standardschriftart"/>
    <w:rPr>
      <w:rFonts w:ascii="Tahoma" w:hAnsi="Tahoma" w:cs="Tahoma"/>
      <w:sz w:val="16"/>
      <w:szCs w:val="16"/>
    </w:rPr>
  </w:style>
  <w:style w:type="character" w:styleId="Platzhaltertext">
    <w:name w:val="Placeholder Text"/>
    <w:basedOn w:val="Absatz-Standardschriftart"/>
    <w:rPr>
      <w:color w:val="808080"/>
    </w:rPr>
  </w:style>
  <w:style w:type="paragraph" w:styleId="Fuzeile">
    <w:name w:val="footer"/>
    <w:basedOn w:val="Standard"/>
    <w:pPr>
      <w:tabs>
        <w:tab w:val="center" w:pos="4536"/>
        <w:tab w:val="right" w:pos="9072"/>
      </w:tabs>
    </w:pPr>
  </w:style>
  <w:style w:type="character" w:customStyle="1" w:styleId="FooterChar">
    <w:name w:val="Footer Char"/>
    <w:basedOn w:val="Absatz-Standardschriftart"/>
    <w:rPr>
      <w:sz w:val="22"/>
    </w:rPr>
  </w:style>
  <w:style w:type="paragraph" w:styleId="Listenabsatz">
    <w:name w:val="List Paragraph"/>
    <w:basedOn w:val="Standard"/>
    <w:pPr>
      <w:spacing w:after="160" w:line="249" w:lineRule="auto"/>
      <w:ind w:left="720"/>
    </w:pPr>
    <w:rPr>
      <w:rFonts w:ascii="Arial" w:eastAsia="Calibri" w:hAnsi="Arial"/>
      <w:szCs w:val="22"/>
    </w:rPr>
  </w:style>
  <w:style w:type="character" w:styleId="Hyperlink">
    <w:name w:val="Hyperlink"/>
    <w:basedOn w:val="Absatz-Standardschriftart"/>
    <w:uiPriority w:val="99"/>
    <w:semiHidden/>
    <w:unhideWhenUsed/>
    <w:rsid w:val="00B00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hotovoltaik-web.de/eigenverbrauch-p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Derksen</dc:creator>
  <dc:description/>
  <cp:lastModifiedBy>adbq3mzq1s@goetheuniversitaet.onmicrosoft.com</cp:lastModifiedBy>
  <cp:revision>2</cp:revision>
  <dcterms:created xsi:type="dcterms:W3CDTF">2022-06-19T19:40:00Z</dcterms:created>
  <dcterms:modified xsi:type="dcterms:W3CDTF">2022-06-19T19:40:00Z</dcterms:modified>
</cp:coreProperties>
</file>